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E1BE1" w14:textId="77777777" w:rsidR="005072AF" w:rsidRDefault="005072AF" w:rsidP="005072AF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urbanizam, Opštine Tuzi</w:t>
      </w:r>
    </w:p>
    <w:p w14:paraId="23D0812C" w14:textId="77777777" w:rsidR="005072AF" w:rsidRDefault="005072AF" w:rsidP="005072AF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0F8472F" w14:textId="77777777" w:rsidR="005072AF" w:rsidRDefault="005072AF" w:rsidP="005072A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FCF9385" w14:textId="7FAF1D30" w:rsidR="005072AF" w:rsidRDefault="005072AF" w:rsidP="005072A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795B06B1" w14:textId="77777777" w:rsidR="005072AF" w:rsidRDefault="005072AF" w:rsidP="005072AF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41CA90A" w14:textId="77777777" w:rsidR="005072AF" w:rsidRPr="00040578" w:rsidRDefault="005072AF" w:rsidP="005072A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</w:t>
      </w:r>
      <w:r>
        <w:rPr>
          <w:rFonts w:ascii="Times New Roman" w:hAnsi="Times New Roman"/>
          <w:sz w:val="24"/>
          <w:szCs w:val="24"/>
        </w:rPr>
        <w:t xml:space="preserve"> Čedomir Milović iz Podgorice, dana 18.03.2025.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podnio zahtjev broj 07-322/25-1532/1 za odlučivanje o potrebi izrade Elaborata o procjeni uticaja na životnu sredinu za “LOKALNI OBJEKAT OD OPŠTEG INTERESA - SKLADIŠTE”, na katastarskoj parceli broj 334/6 KO Tuzi,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 Tuzi.</w:t>
      </w:r>
    </w:p>
    <w:p w14:paraId="4A8DBE79" w14:textId="77777777" w:rsidR="005072AF" w:rsidRDefault="005072AF" w:rsidP="005072AF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predmetnu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3AD0F9A1" w14:textId="77777777" w:rsidR="005072AF" w:rsidRDefault="005072AF" w:rsidP="005072AF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24.03.2025. do 28.03.2025.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49B6C3C5" w14:textId="77777777" w:rsidR="00BD62A7" w:rsidRDefault="00BD62A7"/>
    <w:sectPr w:rsidR="00BD62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B7"/>
    <w:rsid w:val="005072AF"/>
    <w:rsid w:val="00810DB7"/>
    <w:rsid w:val="00BD62A7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9A40"/>
  <w15:chartTrackingRefBased/>
  <w15:docId w15:val="{316FA18B-2870-492E-8C74-AFA36092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2A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2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2A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072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2025-03-24T13:01:00Z</dcterms:created>
  <dcterms:modified xsi:type="dcterms:W3CDTF">2025-03-24T13:01:00Z</dcterms:modified>
</cp:coreProperties>
</file>