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0F284" w14:textId="77777777" w:rsidR="002A2B4C" w:rsidRDefault="002A2B4C" w:rsidP="002A2B4C">
      <w:pPr>
        <w:spacing w:after="160" w:line="252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osnovu člana 20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</w:p>
    <w:p w14:paraId="2F9491CA" w14:textId="77777777" w:rsidR="002A2B4C" w:rsidRDefault="002A2B4C" w:rsidP="002A2B4C">
      <w:pPr>
        <w:spacing w:after="160"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71A9B212" w14:textId="77777777" w:rsidR="002A2B4C" w:rsidRDefault="002A2B4C" w:rsidP="002A2B4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6214584" w14:textId="40C49112" w:rsidR="002A2B4C" w:rsidRDefault="002A2B4C" w:rsidP="002A2B4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 javnost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749EDD" w14:textId="77777777" w:rsidR="002A2B4C" w:rsidRDefault="002A2B4C" w:rsidP="002A2B4C">
      <w:pPr>
        <w:spacing w:after="160" w:line="252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35FF49D2" w14:textId="77777777" w:rsidR="002A2B4C" w:rsidRDefault="002A2B4C" w:rsidP="002A2B4C">
      <w:pPr>
        <w:spacing w:after="160" w:line="254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da je </w:t>
      </w:r>
      <w:r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>
        <w:rPr>
          <w:rFonts w:ascii="Times New Roman" w:hAnsi="Times New Roman"/>
          <w:sz w:val="24"/>
          <w:szCs w:val="24"/>
        </w:rPr>
        <w:t xml:space="preserve"> projekta ONE Crna Gora” D.O.O. iz Podgorice, Rimski trg br. 4., dana 05.09.2024. godine, podnio zahtjev broj 07-322/24-6070/1, za davanje saglasnosti na Elaborat o procjeni uticaja fiksne radiokomunikacionme stanice “Vranjska Gora” – Tuzi na životnu sredinu za projekat, dio katastarske parcele broj 3118/1, KO Vranj</w:t>
      </w:r>
      <w:r>
        <w:rPr>
          <w:rFonts w:ascii="Times New Roman" w:eastAsiaTheme="minorHAnsi" w:hAnsi="Times New Roman"/>
          <w:sz w:val="24"/>
          <w:szCs w:val="24"/>
        </w:rPr>
        <w:t xml:space="preserve"> Opština Tuzi.</w:t>
      </w:r>
    </w:p>
    <w:p w14:paraId="1DBFC659" w14:textId="77777777" w:rsidR="002A2B4C" w:rsidRDefault="002A2B4C" w:rsidP="002A2B4C">
      <w:pPr>
        <w:spacing w:after="160" w:line="254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>U vezi sa navedenim, pozivamo vas da izvršite uvid u dostavljenu dokumentaciju u prostorijama Sekretarijata za urbanizam Opštine Tuzi, ul. Tuzi broj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7, radnim danima od 09,00 do 11,00 časova. Elaborat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6128FBA1" w14:textId="77777777" w:rsidR="002A2B4C" w:rsidRDefault="002A2B4C" w:rsidP="002A2B4C">
      <w:pPr>
        <w:spacing w:after="160" w:line="254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trajanja javne rasprave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eastAsiaTheme="minorHAnsi" w:hAnsi="Times New Roman"/>
          <w:bCs/>
          <w:sz w:val="24"/>
          <w:szCs w:val="24"/>
        </w:rPr>
        <w:t>je od 10.09.2024. do godine do 14.10.2024. godine.</w:t>
      </w:r>
    </w:p>
    <w:p w14:paraId="7C4A2B46" w14:textId="65EF1B4A" w:rsidR="002A2B4C" w:rsidRDefault="002A2B4C" w:rsidP="002A2B4C">
      <w:pPr>
        <w:spacing w:after="160" w:line="254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Javna tribina o predmetnom elaboratu održaće se u sali Skupštine Opštine Tuzi, dana 0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7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.10.2024. godine, sa početkom u 10,00 časova.</w:t>
      </w:r>
    </w:p>
    <w:p w14:paraId="645DB455" w14:textId="77777777" w:rsidR="007156EA" w:rsidRDefault="007156EA"/>
    <w:sectPr w:rsidR="007156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A3"/>
    <w:rsid w:val="002A2B4C"/>
    <w:rsid w:val="007156EA"/>
    <w:rsid w:val="00DB09A3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7FA2D"/>
  <w15:chartTrackingRefBased/>
  <w15:docId w15:val="{223DC239-16CA-4938-BDD7-0F1334D4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B4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2B4C"/>
    <w:rPr>
      <w:color w:val="0563C1" w:themeColor="hyperlink"/>
      <w:u w:val="single"/>
    </w:rPr>
  </w:style>
  <w:style w:type="character" w:customStyle="1" w:styleId="NoSpacingChar">
    <w:name w:val="No Spacing Char"/>
    <w:link w:val="NoSpacing"/>
    <w:uiPriority w:val="1"/>
    <w:locked/>
    <w:rsid w:val="002A2B4C"/>
  </w:style>
  <w:style w:type="paragraph" w:styleId="NoSpacing">
    <w:name w:val="No Spacing"/>
    <w:link w:val="NoSpacingChar"/>
    <w:uiPriority w:val="1"/>
    <w:qFormat/>
    <w:rsid w:val="002A2B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27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2024-09-10T11:14:00Z</dcterms:created>
  <dcterms:modified xsi:type="dcterms:W3CDTF">2024-09-10T11:15:00Z</dcterms:modified>
</cp:coreProperties>
</file>