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73BA0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706884">
        <w:rPr>
          <w:rFonts w:ascii="Garamond" w:hAnsi="Garamond"/>
          <w:sz w:val="28"/>
          <w:szCs w:val="28"/>
          <w:lang w:val="af-ZA"/>
        </w:rPr>
        <w:t>Na osnovu čl. 41 i 42 Zakona o zaštiti i spašavanju ("Službeni list CG", br. 13/07, 5/08, 86/09, 32/11, 54/16 i 146/21), člana 27 stav 1 tačka 20 i člana 38 stav 1 tačka 2 Zakona o lokalnoj samoupravi ("Službeni list CG", br. 2/18, 34/19, 38/20, 50/22, 84/22) i člana 24 stav 1 tačka 20 i člana 54 stav 1 tačka 2 Statuta opštine Tuzi ("Službeni list CG - Opštinski propisi", br. 24/19, 05/20, 51/22, 5</w:t>
      </w:r>
      <w:r>
        <w:rPr>
          <w:rFonts w:ascii="Garamond" w:hAnsi="Garamond"/>
          <w:sz w:val="28"/>
          <w:szCs w:val="28"/>
          <w:lang w:val="af-ZA"/>
        </w:rPr>
        <w:t>5</w:t>
      </w:r>
      <w:r w:rsidRPr="00706884">
        <w:rPr>
          <w:rFonts w:ascii="Garamond" w:hAnsi="Garamond"/>
          <w:sz w:val="28"/>
          <w:szCs w:val="28"/>
          <w:lang w:val="af-ZA"/>
        </w:rPr>
        <w:t xml:space="preserve">/22), </w:t>
      </w:r>
      <w:r w:rsidRPr="00706884">
        <w:rPr>
          <w:rFonts w:ascii="Garamond" w:hAnsi="Garamond"/>
          <w:sz w:val="28"/>
          <w:szCs w:val="28"/>
          <w:lang w:val="sr-Latn-BA"/>
        </w:rPr>
        <w:t xml:space="preserve">na sjednici Skupštine opštine Tuzi održanoj </w:t>
      </w:r>
      <w:r>
        <w:rPr>
          <w:rFonts w:ascii="Garamond" w:hAnsi="Garamond"/>
          <w:sz w:val="28"/>
          <w:szCs w:val="28"/>
          <w:lang w:val="sr-Latn-BA"/>
        </w:rPr>
        <w:t>21.</w:t>
      </w:r>
      <w:r w:rsidRPr="00706884">
        <w:rPr>
          <w:rFonts w:ascii="Garamond" w:hAnsi="Garamond"/>
          <w:sz w:val="28"/>
          <w:szCs w:val="28"/>
          <w:lang w:val="sr-Latn-BA"/>
        </w:rPr>
        <w:t>12.2022. godine, donijeta je</w:t>
      </w:r>
    </w:p>
    <w:p w14:paraId="35E71A6E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DEDB55D" w14:textId="77777777" w:rsidR="00BB3495" w:rsidRPr="00706884" w:rsidRDefault="00BB3495" w:rsidP="00BB3495">
      <w:pPr>
        <w:pStyle w:val="N03Y"/>
        <w:rPr>
          <w:rFonts w:ascii="Garamond" w:hAnsi="Garamond"/>
          <w:lang w:val="af-ZA"/>
        </w:rPr>
      </w:pPr>
      <w:r w:rsidRPr="00706884">
        <w:rPr>
          <w:rFonts w:ascii="Garamond" w:hAnsi="Garamond"/>
          <w:lang w:val="af-ZA"/>
        </w:rPr>
        <w:t>ODLUKA</w:t>
      </w:r>
    </w:p>
    <w:p w14:paraId="2353B4F6" w14:textId="77777777" w:rsidR="00BB3495" w:rsidRPr="00706884" w:rsidRDefault="00BB3495" w:rsidP="00BB3495">
      <w:pPr>
        <w:pStyle w:val="N03Y"/>
        <w:rPr>
          <w:rFonts w:ascii="Garamond" w:hAnsi="Garamond"/>
          <w:lang w:val="af-ZA"/>
        </w:rPr>
      </w:pPr>
      <w:bookmarkStart w:id="0" w:name="_Hlk121685159"/>
      <w:r w:rsidRPr="00706884">
        <w:rPr>
          <w:rFonts w:ascii="Garamond" w:hAnsi="Garamond"/>
          <w:lang w:val="af-ZA"/>
        </w:rPr>
        <w:t>o obrazovanju Komisije za procjenu štete od elementarnih nepogoda</w:t>
      </w:r>
    </w:p>
    <w:bookmarkEnd w:id="0"/>
    <w:p w14:paraId="5D5204BA" w14:textId="77777777" w:rsidR="00BB3495" w:rsidRPr="00706884" w:rsidRDefault="00BB3495" w:rsidP="00BB3495">
      <w:pPr>
        <w:pStyle w:val="C30X"/>
        <w:rPr>
          <w:rFonts w:ascii="Garamond" w:hAnsi="Garamond"/>
          <w:sz w:val="28"/>
          <w:szCs w:val="28"/>
          <w:lang w:val="af-ZA"/>
        </w:rPr>
      </w:pPr>
    </w:p>
    <w:p w14:paraId="2E8C38BA" w14:textId="77777777" w:rsidR="00BB3495" w:rsidRPr="00706884" w:rsidRDefault="00BB3495" w:rsidP="00BB3495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1</w:t>
      </w:r>
    </w:p>
    <w:p w14:paraId="5468F34A" w14:textId="77777777" w:rsidR="00BB3495" w:rsidRPr="00706884" w:rsidRDefault="00BB3495" w:rsidP="00BB3495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Komisiju za procjenu štete od elementarnih nepogoda (u daljem tekstu: Komisija) obrazuje predjesnik opštine (u daljem tekstu: predsjednik).</w:t>
      </w:r>
    </w:p>
    <w:p w14:paraId="594A2ECE" w14:textId="77777777" w:rsidR="00BB3495" w:rsidRPr="00706884" w:rsidRDefault="00BB3495" w:rsidP="00BB3495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2</w:t>
      </w:r>
    </w:p>
    <w:p w14:paraId="0DF27546" w14:textId="77777777" w:rsidR="00BB3495" w:rsidRPr="00706884" w:rsidRDefault="00BB3495" w:rsidP="00BB3495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Komisija ima predsjednika, četiri člana i sekretara, koje određuje predsjednik iz organa i službi Opštine.</w:t>
      </w:r>
    </w:p>
    <w:p w14:paraId="2989A924" w14:textId="77777777" w:rsidR="00BB3495" w:rsidRPr="00706884" w:rsidRDefault="00BB3495" w:rsidP="00BB3495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3</w:t>
      </w:r>
    </w:p>
    <w:p w14:paraId="212A9216" w14:textId="77777777" w:rsidR="00BB3495" w:rsidRPr="00706884" w:rsidRDefault="00BB3495" w:rsidP="00BB3495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Zadatak Komisije je da utvrđuje visinu štete nastale od posljedica elementarne nepogode, tehničko-tehnološke i druge nesreće na teritoriji Opštine, i u roku od 30 dana od dana njihovog prestanka, dostavlja izvještaj predsjedniku i Vladi Crne Gore o procijenjenim štetama i nastalim posljedicama.</w:t>
      </w:r>
    </w:p>
    <w:p w14:paraId="79331ED2" w14:textId="77777777" w:rsidR="00BB3495" w:rsidRPr="00706884" w:rsidRDefault="00BB3495" w:rsidP="00BB3495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4</w:t>
      </w:r>
    </w:p>
    <w:p w14:paraId="39324D69" w14:textId="77777777" w:rsidR="00BB3495" w:rsidRPr="00706884" w:rsidRDefault="00BB3495" w:rsidP="00BB3495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Komisija ima pravo na naknadu.</w:t>
      </w:r>
    </w:p>
    <w:p w14:paraId="59D07701" w14:textId="77777777" w:rsidR="00BB3495" w:rsidRPr="00706884" w:rsidRDefault="00BB3495" w:rsidP="00BB3495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Iznos naknade iz stava 1 ovog člana utvrđuje predsjednik.</w:t>
      </w:r>
    </w:p>
    <w:p w14:paraId="2D72549B" w14:textId="77777777" w:rsidR="00BB3495" w:rsidRPr="00706884" w:rsidRDefault="00BB3495" w:rsidP="00BB3495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5</w:t>
      </w:r>
    </w:p>
    <w:p w14:paraId="16247FB9" w14:textId="77777777" w:rsidR="00BB3495" w:rsidRPr="00706884" w:rsidRDefault="00BB3495" w:rsidP="00BB349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706884">
        <w:rPr>
          <w:rFonts w:ascii="Garamond" w:hAnsi="Garamond"/>
          <w:sz w:val="28"/>
          <w:szCs w:val="28"/>
          <w:lang w:val="sr-Latn-BA"/>
        </w:rPr>
        <w:t xml:space="preserve">Ova odluka stupa na snagu osmog dana od dana objavljivanja u „Službenom listu Crne Gore – Opštinski propisi”. </w:t>
      </w:r>
    </w:p>
    <w:p w14:paraId="1144A5A4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193385B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57E5C23D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24598D6E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A9384B0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2856119B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8EE2D98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706884">
        <w:rPr>
          <w:rFonts w:ascii="Garamond" w:hAnsi="Garamond"/>
          <w:sz w:val="28"/>
          <w:szCs w:val="28"/>
          <w:lang w:val="sr-Latn-BA"/>
        </w:rPr>
        <w:t>Broj: 02-030/22-</w:t>
      </w:r>
      <w:r>
        <w:rPr>
          <w:rFonts w:ascii="Garamond" w:hAnsi="Garamond"/>
          <w:sz w:val="28"/>
          <w:szCs w:val="28"/>
          <w:lang w:val="sr-Latn-BA"/>
        </w:rPr>
        <w:t>12762</w:t>
      </w:r>
    </w:p>
    <w:p w14:paraId="3457E23B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706884">
        <w:rPr>
          <w:rFonts w:ascii="Garamond" w:hAnsi="Garamond"/>
          <w:sz w:val="28"/>
          <w:szCs w:val="28"/>
          <w:lang w:val="sr-Latn-BA"/>
        </w:rPr>
        <w:t xml:space="preserve">Tuzi, </w:t>
      </w:r>
      <w:r>
        <w:rPr>
          <w:rFonts w:ascii="Garamond" w:hAnsi="Garamond"/>
          <w:sz w:val="28"/>
          <w:szCs w:val="28"/>
          <w:lang w:val="sr-Latn-BA"/>
        </w:rPr>
        <w:t>21.</w:t>
      </w:r>
      <w:r w:rsidRPr="00706884">
        <w:rPr>
          <w:rFonts w:ascii="Garamond" w:hAnsi="Garamond"/>
          <w:sz w:val="28"/>
          <w:szCs w:val="28"/>
          <w:lang w:val="sr-Latn-BA"/>
        </w:rPr>
        <w:t>12.2022.godine</w:t>
      </w:r>
    </w:p>
    <w:p w14:paraId="2A8ECC40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433E6C6C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CD2356A" w14:textId="77777777" w:rsidR="00BB3495" w:rsidRPr="00706884" w:rsidRDefault="00BB3495" w:rsidP="00BB349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3757F69B" w14:textId="77777777" w:rsidR="00BB3495" w:rsidRPr="00706884" w:rsidRDefault="00BB3495" w:rsidP="00BB349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706884">
        <w:rPr>
          <w:rFonts w:ascii="Garamond" w:hAnsi="Garamond"/>
          <w:b/>
          <w:bCs/>
          <w:sz w:val="28"/>
          <w:szCs w:val="28"/>
          <w:lang w:val="sr-Latn-BA"/>
        </w:rPr>
        <w:t>SKUPŠTINA OPŠTINE TUZI</w:t>
      </w:r>
    </w:p>
    <w:p w14:paraId="449C5CA5" w14:textId="77777777" w:rsidR="00BB3495" w:rsidRPr="00706884" w:rsidRDefault="00BB3495" w:rsidP="00BB349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706884">
        <w:rPr>
          <w:rFonts w:ascii="Garamond" w:hAnsi="Garamond"/>
          <w:b/>
          <w:bCs/>
          <w:sz w:val="28"/>
          <w:szCs w:val="28"/>
          <w:lang w:val="sr-Latn-BA"/>
        </w:rPr>
        <w:t>PREDSJEDNIK,</w:t>
      </w:r>
    </w:p>
    <w:p w14:paraId="3D9AF298" w14:textId="77777777" w:rsidR="00BB3495" w:rsidRPr="00FB1046" w:rsidRDefault="00BB3495" w:rsidP="00BB349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706884">
        <w:rPr>
          <w:rFonts w:ascii="Garamond" w:hAnsi="Garamond"/>
          <w:b/>
          <w:bCs/>
          <w:sz w:val="28"/>
          <w:szCs w:val="28"/>
          <w:lang w:val="sr-Latn-BA"/>
        </w:rPr>
        <w:t>Fadil Kajoshaj</w:t>
      </w:r>
    </w:p>
    <w:p w14:paraId="1C042558" w14:textId="77777777" w:rsidR="00891785" w:rsidRDefault="00891785"/>
    <w:sectPr w:rsidR="00891785">
      <w:footerReference w:type="even" r:id="rId4"/>
      <w:footerReference w:type="default" r:id="rId5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98416" w14:textId="77777777" w:rsidR="003748F9" w:rsidRDefault="00BB34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956E6" w14:textId="77777777" w:rsidR="002970EF" w:rsidRDefault="00BB3495"/>
  <w:p w14:paraId="573767E8" w14:textId="77777777" w:rsidR="002970EF" w:rsidRDefault="00BB3495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95"/>
    <w:rsid w:val="00064300"/>
    <w:rsid w:val="000A399E"/>
    <w:rsid w:val="003C465F"/>
    <w:rsid w:val="00480D84"/>
    <w:rsid w:val="00617696"/>
    <w:rsid w:val="0075117A"/>
    <w:rsid w:val="0083463E"/>
    <w:rsid w:val="00891785"/>
    <w:rsid w:val="00A42D45"/>
    <w:rsid w:val="00BB3495"/>
    <w:rsid w:val="00F3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48925"/>
  <w15:chartTrackingRefBased/>
  <w15:docId w15:val="{BD5D0BC4-D1E9-49EF-B770-591B809D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49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BB349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BB3495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T30X">
    <w:name w:val="T30X"/>
    <w:basedOn w:val="Normal"/>
    <w:uiPriority w:val="99"/>
    <w:rsid w:val="00BB3495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BB3495"/>
    <w:pPr>
      <w:spacing w:after="0" w:line="240" w:lineRule="auto"/>
    </w:pPr>
    <w:rPr>
      <w:rFonts w:eastAsiaTheme="minorEastAsia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B3495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Albana Dedvukaj</dc:creator>
  <cp:keywords/>
  <dc:description/>
  <cp:lastModifiedBy>Albana Dedvukaj</cp:lastModifiedBy>
  <cp:revision>1</cp:revision>
  <dcterms:created xsi:type="dcterms:W3CDTF">2022-12-29T12:36:00Z</dcterms:created>
  <dcterms:modified xsi:type="dcterms:W3CDTF">2022-12-29T12:37:00Z</dcterms:modified>
</cp:coreProperties>
</file>