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71A09" w14:textId="73D5BF91" w:rsidR="008E2887" w:rsidRDefault="008E2887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/>
          <w:bCs/>
          <w:noProof/>
          <w:color w:val="000000"/>
          <w:sz w:val="24"/>
          <w:szCs w:val="24"/>
          <w:lang w:val="sr-Latn-CS"/>
        </w:rPr>
        <w:drawing>
          <wp:anchor distT="0" distB="0" distL="114300" distR="114300" simplePos="0" relativeHeight="251658240" behindDoc="0" locked="0" layoutInCell="1" allowOverlap="1" wp14:anchorId="6A232299" wp14:editId="02EA2F4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47865" cy="9963150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7865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br w:type="page"/>
      </w:r>
    </w:p>
    <w:p w14:paraId="5086D446" w14:textId="72163DA0" w:rsidR="00336CD4" w:rsidRPr="004D2DC0" w:rsidRDefault="00AD2854" w:rsidP="00990FD7">
      <w:pPr>
        <w:spacing w:after="0" w:line="240" w:lineRule="auto"/>
        <w:ind w:firstLine="540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lastRenderedPageBreak/>
        <w:t xml:space="preserve">  </w:t>
      </w:r>
      <w:r w:rsidR="001E743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</w:t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PREDLOG</w:t>
      </w:r>
    </w:p>
    <w:p w14:paraId="1CD616D4" w14:textId="21AAA43F" w:rsidR="00990FD7" w:rsidRPr="004D2DC0" w:rsidRDefault="00990FD7" w:rsidP="00990FD7">
      <w:pPr>
        <w:spacing w:after="0" w:line="240" w:lineRule="auto"/>
        <w:ind w:firstLine="54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bookmarkStart w:id="0" w:name="_Hlk61937879"/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Nа оsnоvu člаnа 168 stav 4</w:t>
      </w:r>
      <w:r w:rsidR="00F1459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Zakona o planiranju prostora i izgradnji objekata („Službeni list CG“, brој 64/17,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44/18, 63/18</w:t>
      </w:r>
      <w:r w:rsidR="004B329E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, 11/19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 xml:space="preserve"> i 82/20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),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člana 38 stav 1 tač. 2 i 8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Zаkоnа о lоkаlnој sаmоuprаvi („Službeni list CG“, br.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2/18, 34/19 i 38/20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)</w:t>
      </w:r>
      <w:r w:rsidR="004A4E48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,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člаnа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25 stav 1 tačka 2 i člana 53 stav 1 tačka 2 i 8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Stаtutа Opštine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Tuzi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(„Službeni list CG – Opštinski propisi“, br.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24/19 i 05/20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), uz prethodnu saglasnost </w:t>
      </w:r>
      <w:r w:rsidR="00250842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Ministarstva ekologije, prostornog planiranja i urbanizma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br</w:t>
      </w:r>
      <w:r w:rsidR="00250842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oj</w:t>
      </w:r>
      <w:r w:rsidR="001B0BE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: 01-12/13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od </w:t>
      </w:r>
      <w:r w:rsidR="001B0BE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19.01.</w:t>
      </w:r>
      <w:r w:rsidR="004B329E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2021. godine,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Skupštinа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Opštine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Tuzi</w:t>
      </w:r>
      <w:r w:rsidR="00250842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,</w:t>
      </w:r>
      <w:r w:rsidR="0013251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nа sјеdnici оdržаnој</w:t>
      </w:r>
      <w:r w:rsidR="0013251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dana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_______</w:t>
      </w:r>
      <w:r w:rsidR="00AD2854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__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20</w:t>
      </w:r>
      <w:r w:rsidR="00654F8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21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 gоdinе, dоniјеlа</w:t>
      </w:r>
      <w:r w:rsidR="00AD2854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je</w:t>
      </w:r>
      <w:r w:rsidR="001E743D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</w:p>
    <w:bookmarkEnd w:id="0"/>
    <w:p w14:paraId="6A7A6837" w14:textId="77777777" w:rsidR="00AD2854" w:rsidRPr="004D2DC0" w:rsidRDefault="00AD2854" w:rsidP="003D51F9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346063EC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О D L U K U </w:t>
      </w:r>
    </w:p>
    <w:p w14:paraId="6AF9058C" w14:textId="2368AB63" w:rsidR="00A5415B" w:rsidRPr="004D2DC0" w:rsidRDefault="00990FD7" w:rsidP="00A5415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bookmarkStart w:id="1" w:name="_Hlk498086882"/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о godišnjoj naknadi za korišćenje prostora za bespravne objekte</w:t>
      </w:r>
      <w:bookmarkEnd w:id="1"/>
    </w:p>
    <w:p w14:paraId="4A98436F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1E04B42F" w14:textId="4314B1B6" w:rsidR="00AD2854" w:rsidRPr="004D2DC0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OPŠTE ODREDBE</w:t>
      </w:r>
    </w:p>
    <w:p w14:paraId="272B6A0B" w14:textId="4790013C" w:rsidR="00AD2854" w:rsidRPr="004D2DC0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Predmet</w:t>
      </w:r>
    </w:p>
    <w:p w14:paraId="03219198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216930EC" w14:textId="4512F3D8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Člаn 1</w:t>
      </w:r>
    </w:p>
    <w:p w14:paraId="101C0B7A" w14:textId="6B1EE997" w:rsidR="00AD2854" w:rsidRDefault="00990FD7" w:rsidP="001E743D">
      <w:pPr>
        <w:spacing w:after="0" w:line="240" w:lineRule="auto"/>
        <w:ind w:firstLine="54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Оvоm Odlukоm propisuje se visina, način i kriterijumi plаćаnjа godišnje nаknаdе za korišćenje prostora za bespravne objekte  (u daljem tekstu: naknada) na teritoriji Opštine</w:t>
      </w:r>
      <w:r w:rsid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Tuzi</w:t>
      </w:r>
      <w:r w:rsidR="0013251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132510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(u daljem tekstu: Opština)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  </w:t>
      </w:r>
    </w:p>
    <w:p w14:paraId="24205121" w14:textId="77777777" w:rsidR="001E743D" w:rsidRPr="004D2DC0" w:rsidRDefault="001E743D" w:rsidP="001E743D">
      <w:pPr>
        <w:spacing w:after="0" w:line="240" w:lineRule="auto"/>
        <w:ind w:firstLine="54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25DE12F6" w14:textId="35266E9A" w:rsidR="00A5415B" w:rsidRPr="004D2DC0" w:rsidRDefault="00990FD7" w:rsidP="00A5415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Plaćanje naknade</w:t>
      </w:r>
    </w:p>
    <w:p w14:paraId="26FFF97D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5D34278B" w14:textId="5BC4C680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Člаn 2 </w:t>
      </w:r>
    </w:p>
    <w:p w14:paraId="34DDE0AE" w14:textId="61A06694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Naknada se plaća za bespravni objekat</w:t>
      </w:r>
      <w:r w:rsid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koji je evidentiran na orto foto snimku iz člana 155 Zakona o planiranju prostora</w:t>
      </w:r>
      <w:r w:rsidR="008152C7" w:rsidRP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8152C7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i izgradnji objekata („Službeni list CG“, brој 64/17, </w:t>
      </w:r>
      <w:r w:rsidR="008152C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44/18, 63/18 i 82/20</w:t>
      </w:r>
      <w:r w:rsidR="008152C7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), </w:t>
      </w:r>
      <w:r w:rsid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(u daljem tekstu Zakon):</w:t>
      </w:r>
    </w:p>
    <w:p w14:paraId="3F013D3E" w14:textId="77777777" w:rsidR="00990FD7" w:rsidRPr="004D2DC0" w:rsidRDefault="00990FD7" w:rsidP="00990FD7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 koji nije podnijet zahtjev za legalizaciju; </w:t>
      </w:r>
    </w:p>
    <w:p w14:paraId="18BB797E" w14:textId="1C142EF8" w:rsidR="00AD2854" w:rsidRPr="00AD2854" w:rsidRDefault="00990FD7" w:rsidP="00AD2854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za koji je u postupku legalizacije donijeto rješenje o odbijanju zahtjeva za legalizacij</w:t>
      </w:r>
      <w:r w:rsidR="00AD2854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u.</w:t>
      </w:r>
    </w:p>
    <w:p w14:paraId="4D5A972A" w14:textId="77777777" w:rsidR="00AD2854" w:rsidRPr="00AD2854" w:rsidRDefault="00AD2854" w:rsidP="00AD2854">
      <w:p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74BBBC0F" w14:textId="1E6DC884" w:rsidR="00A5415B" w:rsidRPr="004D2DC0" w:rsidRDefault="00990FD7" w:rsidP="00A5415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Nastanak obaveze plaćanja naknade</w:t>
      </w:r>
    </w:p>
    <w:p w14:paraId="282CC23A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7B36CA11" w14:textId="39DB2BD1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Člаn 3</w:t>
      </w:r>
    </w:p>
    <w:p w14:paraId="7FF2EE73" w14:textId="74B22244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bookmarkStart w:id="2" w:name="_Hlk61939583"/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Obaveza plaćanja naknade nastaje 1. januara godine za koju se obaveza utvrđuje.</w:t>
      </w:r>
    </w:p>
    <w:p w14:paraId="25B2B0C8" w14:textId="70D976A2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Izuzetno od odredbe stava 1 ovog člana, obaveza plaćanja naknade za prvu godinu:</w:t>
      </w:r>
    </w:p>
    <w:p w14:paraId="5334BE00" w14:textId="77777777" w:rsidR="00990FD7" w:rsidRPr="004D2DC0" w:rsidRDefault="00990FD7" w:rsidP="00990FD7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 objekte iz člana 2 alineja 1 ove Odluke nastaje 1. januara 2021. godine; </w:t>
      </w:r>
    </w:p>
    <w:p w14:paraId="2AF273EB" w14:textId="7C6ECFB0" w:rsidR="00990FD7" w:rsidRDefault="00990FD7" w:rsidP="001E743D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za objekte iz člana 2 alineja 2 ove odluke nastaje</w:t>
      </w:r>
      <w:r w:rsidR="0023607B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1</w:t>
      </w:r>
      <w:r w:rsidR="00825F2D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</w:t>
      </w:r>
      <w:r w:rsidR="0023607B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januara godine koja slijedi godini u kojoj je donijeto pravosnažno rješenje o odbijanju zahtjeva za legalizaciju bespravnog objekta.</w:t>
      </w:r>
    </w:p>
    <w:bookmarkEnd w:id="2"/>
    <w:p w14:paraId="6A3E4889" w14:textId="77777777" w:rsidR="001E743D" w:rsidRPr="001E743D" w:rsidRDefault="001E743D" w:rsidP="0023607B">
      <w:p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37E33B5A" w14:textId="02345731" w:rsidR="00A5415B" w:rsidRPr="004D2DC0" w:rsidRDefault="00990FD7" w:rsidP="003D51F9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Prestanak obaveze plaćanja naknade</w:t>
      </w:r>
    </w:p>
    <w:p w14:paraId="7705C586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1D639A32" w14:textId="5823F89F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4</w:t>
      </w:r>
    </w:p>
    <w:p w14:paraId="111F2D62" w14:textId="31E5517D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Obaveza plaćanja naknade prestaje:</w:t>
      </w:r>
    </w:p>
    <w:p w14:paraId="71B7ACC5" w14:textId="14430811" w:rsidR="00AD2854" w:rsidRDefault="000C0975" w:rsidP="000C097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uklanjanjem objekta,</w:t>
      </w:r>
    </w:p>
    <w:p w14:paraId="10614A3D" w14:textId="3361C2CF" w:rsidR="000C0975" w:rsidRDefault="000C0975" w:rsidP="000C097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danom podnošenja zahtjeva za legalizaciju.</w:t>
      </w:r>
    </w:p>
    <w:p w14:paraId="487B4628" w14:textId="77777777" w:rsidR="000C0975" w:rsidRPr="000C0975" w:rsidRDefault="000C0975" w:rsidP="000C0975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0DDEFAFA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767129F1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687E8BA6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60498330" w14:textId="6E6309DE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lastRenderedPageBreak/>
        <w:t>Evidencija obveznika naknade</w:t>
      </w:r>
    </w:p>
    <w:p w14:paraId="3F378849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7F3AB1B5" w14:textId="59C03ED6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5</w:t>
      </w:r>
    </w:p>
    <w:p w14:paraId="09C074D4" w14:textId="300877AE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Za utvrđivanje obaveze plaćanja naknade,</w:t>
      </w:r>
      <w:r w:rsidR="000C097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organ lokalne uprave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nadlež</w:t>
      </w:r>
      <w:r w:rsidR="000C0975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an za poslove lokalnih javnih prihoda</w:t>
      </w:r>
      <w:r w:rsidR="0013251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 </w:t>
      </w:r>
      <w:r w:rsidR="000C0975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(u daljem tekstu: nadležni organ) uspostavlja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i vodi evidenciju obveznika naknade.</w:t>
      </w:r>
    </w:p>
    <w:p w14:paraId="5D0768C1" w14:textId="50742B9D" w:rsidR="00990FD7" w:rsidRDefault="00990FD7" w:rsidP="000C0975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 uspostavljanje evidencije iz stava 1 ovog člana koriste se podaci iz katastra nepokretnosti, liste bespravnih objekata </w:t>
      </w:r>
      <w:r w:rsidR="000C097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i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drugih evidencija koje vode organi lokalne uprave i javne službe čiji je osnivač opština</w:t>
      </w:r>
      <w:r w:rsidR="000C097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Tuzi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</w:t>
      </w:r>
    </w:p>
    <w:p w14:paraId="13BA10BC" w14:textId="77777777" w:rsidR="00A03891" w:rsidRPr="000C0975" w:rsidRDefault="00A03891" w:rsidP="000C0975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060BD2A4" w14:textId="27FD967C" w:rsidR="00AD2854" w:rsidRPr="00AD2854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II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VISINA I KRITERIJUMI ZA UTVRĐIVANJE NAKNA</w:t>
      </w:r>
      <w:r w:rsidRPr="004D2DC0">
        <w:rPr>
          <w:rFonts w:ascii="Garamond" w:eastAsia="Times New Roman" w:hAnsi="Garamond" w:cs="Times New Roman"/>
          <w:b/>
          <w:bCs/>
          <w:caps/>
          <w:color w:val="000000"/>
          <w:sz w:val="24"/>
          <w:szCs w:val="24"/>
          <w:lang w:val="sr-Latn-CS"/>
        </w:rPr>
        <w:t>de</w:t>
      </w:r>
    </w:p>
    <w:p w14:paraId="58C9E526" w14:textId="77777777" w:rsidR="00A03891" w:rsidRDefault="00A03891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</w:p>
    <w:p w14:paraId="4B5C2B76" w14:textId="6420C8F2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  <w:t>Utvrđivanje visine naknade</w:t>
      </w:r>
    </w:p>
    <w:p w14:paraId="507E9E99" w14:textId="77777777" w:rsidR="00A03891" w:rsidRDefault="00A03891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</w:p>
    <w:p w14:paraId="29FC3100" w14:textId="5468B899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  <w:t>Član 6</w:t>
      </w:r>
    </w:p>
    <w:p w14:paraId="4AF09AC6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Visina naknade obračunava se na godišnjem nivou na osnovu cijene naknade po jedinici površine koja se množi sa bruto površinom bespravnog objekta i stopom naknade prema sledećoj formuli:</w:t>
      </w:r>
    </w:p>
    <w:p w14:paraId="0B6E8C9A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aramond" w:eastAsia="Times New Roman" w:hAnsi="Garamond" w:cs="Times New Roman"/>
          <w:color w:val="000000"/>
          <w:sz w:val="24"/>
          <w:szCs w:val="24"/>
          <w:vertAlign w:val="subscript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VN = CN x BP x S</w:t>
      </w:r>
    </w:p>
    <w:p w14:paraId="2B14AE4A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pri čemu je:</w:t>
      </w:r>
    </w:p>
    <w:p w14:paraId="536F0527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VN – visina naknade</w:t>
      </w:r>
    </w:p>
    <w:p w14:paraId="652592D1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CN – cijena naknade po jedinici površine</w:t>
      </w:r>
    </w:p>
    <w:p w14:paraId="6D7E3A1C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BP – bruto površina  bespravnog objekta izražena u m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vertAlign w:val="superscript"/>
          <w:lang w:val="sr-Latn-CS" w:eastAsia="hr-BA"/>
        </w:rPr>
        <w:t>2</w:t>
      </w:r>
    </w:p>
    <w:p w14:paraId="68CE756C" w14:textId="019FFB66" w:rsidR="00990FD7" w:rsidRDefault="00990FD7" w:rsidP="001E743D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S – stopa naknade.</w:t>
      </w:r>
    </w:p>
    <w:p w14:paraId="717C2310" w14:textId="77777777" w:rsidR="001E743D" w:rsidRPr="001E743D" w:rsidRDefault="001E743D" w:rsidP="001E743D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</w:p>
    <w:p w14:paraId="537B9430" w14:textId="1505E6DC" w:rsidR="00990FD7" w:rsidRPr="004D2DC0" w:rsidRDefault="0093015E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bookmarkStart w:id="3" w:name="_Hlk60990142"/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Utvrđivanje visine i c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ijen</w:t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e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naknade po m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vertAlign w:val="superscript"/>
          <w:lang w:val="sr-Latn-CS"/>
        </w:rPr>
        <w:t xml:space="preserve">2 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bespravnog objekta</w:t>
      </w:r>
    </w:p>
    <w:bookmarkEnd w:id="3"/>
    <w:p w14:paraId="557FE7DF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46F0DB1D" w14:textId="24972555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Član 7</w:t>
      </w:r>
    </w:p>
    <w:p w14:paraId="2112D409" w14:textId="52738927" w:rsidR="00990FD7" w:rsidRPr="004D2DC0" w:rsidRDefault="0093015E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Visina i c</w:t>
      </w:r>
      <w:r w:rsidR="00990FD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ijena naknade po m</w:t>
      </w:r>
      <w:r w:rsidR="00990FD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vertAlign w:val="superscript"/>
          <w:lang w:val="sr-Latn-CS"/>
        </w:rPr>
        <w:t>2</w:t>
      </w:r>
      <w:r w:rsidR="00990FD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 bespravnog objekta određuje se na osnovu prosječne cijene građenja m² novoizgrađenog stambenog objekta u Crnoj Gori, koju objavljuje organ uprave nadležan za poslove statistike, za godinu koja prethodi godini za koju se naknada utvrđuje.</w:t>
      </w:r>
    </w:p>
    <w:p w14:paraId="6A5D1158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0F6F4007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Stopa naknade</w:t>
      </w:r>
    </w:p>
    <w:p w14:paraId="446FA8D0" w14:textId="77777777" w:rsidR="00A03891" w:rsidRDefault="00A03891" w:rsidP="0093015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7AE348F3" w14:textId="26EF467B" w:rsidR="00990FD7" w:rsidRPr="004D2DC0" w:rsidRDefault="00990FD7" w:rsidP="0093015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8</w:t>
      </w:r>
    </w:p>
    <w:p w14:paraId="7C728E94" w14:textId="1FC9743E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Stopa naknade iznosi</w:t>
      </w:r>
      <w:r w:rsidR="00AD2854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AD2854">
        <w:rPr>
          <w:lang w:val="sr-Latn-CS"/>
        </w:rPr>
        <w:t>0,50%.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</w:p>
    <w:p w14:paraId="51D4D128" w14:textId="77777777" w:rsidR="00990FD7" w:rsidRPr="004D2DC0" w:rsidRDefault="00990FD7" w:rsidP="0093015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30DB9AF0" w14:textId="53697DA2" w:rsidR="00AD2854" w:rsidRPr="004D2DC0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III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NAČIN UTVRĐIVANJA I PLAĆANJA NAKNADE</w:t>
      </w:r>
    </w:p>
    <w:p w14:paraId="02F01819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09042F39" w14:textId="0AABFC06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Utvrđivanje i plaćanje naknade</w:t>
      </w:r>
    </w:p>
    <w:p w14:paraId="58BE4792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00945D2D" w14:textId="4FD9271C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Član 9</w:t>
      </w:r>
    </w:p>
    <w:p w14:paraId="56C7350E" w14:textId="2668992E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Visinu naknade za tekuću godinu utvrđuje rješenjem organ lokalne uprave nadležan za poslove lokalnih javnih prihoda do 30. aprila tekuće godine.</w:t>
      </w:r>
    </w:p>
    <w:p w14:paraId="7E5F0D66" w14:textId="16CC9A30" w:rsidR="00AD2854" w:rsidRDefault="00990FD7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Naknada se plaća u dvije jednake rate, od kojih prva dospijeva 30. juna, a druga  31. oktobra godine za koju se naknada utvrđuje.</w:t>
      </w:r>
    </w:p>
    <w:p w14:paraId="4243D75D" w14:textId="3FA9DFE7" w:rsidR="00A03891" w:rsidRDefault="00A03891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72FF87F1" w14:textId="500F1F63" w:rsidR="00A03891" w:rsidRDefault="00A03891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6F33F619" w14:textId="77777777" w:rsidR="00A03891" w:rsidRPr="004D2DC0" w:rsidRDefault="00A03891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173ABBD2" w14:textId="3EAE2703" w:rsidR="00990FD7" w:rsidRPr="004D2DC0" w:rsidRDefault="0093015E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lastRenderedPageBreak/>
        <w:t>Shodna primjena propisa</w:t>
      </w:r>
    </w:p>
    <w:p w14:paraId="21AC79F5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43442D92" w14:textId="377514D1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10</w:t>
      </w:r>
    </w:p>
    <w:p w14:paraId="638DAE18" w14:textId="425A00B1" w:rsidR="0093015E" w:rsidRDefault="0093015E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U pogledu načina utvrđivanja naknade obračunavanja, rokova, žalbe, prinudne naplate, kamate, povraćaja i ostalih pitanja koja nijesu uređena ovom odlukom shodno se primjenjuju odredbe zakona kojim je uređen poreski postupak.</w:t>
      </w:r>
    </w:p>
    <w:p w14:paraId="11D970A1" w14:textId="77777777" w:rsidR="001E743D" w:rsidRPr="004D2DC0" w:rsidRDefault="001E743D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56C98452" w14:textId="6A1AE445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IV</w:t>
      </w:r>
      <w:r w:rsidR="0023607B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ZAVRŠNA ODREDBA</w:t>
      </w:r>
    </w:p>
    <w:p w14:paraId="616042E5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0BE62E56" w14:textId="70CF7249" w:rsidR="00990FD7" w:rsidRPr="004D2DC0" w:rsidRDefault="0093015E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Stupanje na snagu</w:t>
      </w:r>
    </w:p>
    <w:p w14:paraId="3F08B3C5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188C45FA" w14:textId="44F32614" w:rsidR="00990FD7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11</w:t>
      </w:r>
    </w:p>
    <w:p w14:paraId="375EB6A0" w14:textId="4F0554C3" w:rsidR="0093015E" w:rsidRPr="0093015E" w:rsidRDefault="0093015E" w:rsidP="0093015E">
      <w:pPr>
        <w:pStyle w:val="T30X"/>
        <w:ind w:firstLine="0"/>
        <w:rPr>
          <w:rFonts w:ascii="Garamond" w:hAnsi="Garamond"/>
          <w:sz w:val="24"/>
          <w:szCs w:val="24"/>
          <w:lang w:val="sr-Latn-CS"/>
        </w:rPr>
      </w:pPr>
      <w:r w:rsidRPr="0093015E">
        <w:rPr>
          <w:rFonts w:ascii="Garamond" w:hAnsi="Garamond"/>
          <w:sz w:val="24"/>
          <w:szCs w:val="24"/>
          <w:lang w:val="sr-Latn-CS"/>
        </w:rPr>
        <w:t xml:space="preserve">     </w:t>
      </w:r>
      <w:proofErr w:type="spellStart"/>
      <w:r>
        <w:rPr>
          <w:rFonts w:ascii="Garamond" w:hAnsi="Garamond"/>
          <w:sz w:val="24"/>
          <w:szCs w:val="24"/>
        </w:rPr>
        <w:t>Danom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Pr="00C7332C">
        <w:rPr>
          <w:rFonts w:ascii="Garamond" w:hAnsi="Garamond"/>
          <w:sz w:val="24"/>
          <w:szCs w:val="24"/>
        </w:rPr>
        <w:t>tupanj</w:t>
      </w:r>
      <w:r>
        <w:rPr>
          <w:rFonts w:ascii="Garamond" w:hAnsi="Garamond"/>
          <w:sz w:val="24"/>
          <w:szCs w:val="24"/>
        </w:rPr>
        <w:t>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na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snagu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ove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odluke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prestaje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da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va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ž</w:t>
      </w:r>
      <w:proofErr w:type="spellStart"/>
      <w:r w:rsidRPr="00C7332C">
        <w:rPr>
          <w:rFonts w:ascii="Garamond" w:hAnsi="Garamond"/>
          <w:sz w:val="24"/>
          <w:szCs w:val="24"/>
        </w:rPr>
        <w:t>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Odluka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o</w:t>
      </w:r>
      <w:r w:rsidR="003D2E67" w:rsidRPr="003D2E67">
        <w:rPr>
          <w:rFonts w:ascii="Garamond" w:hAnsi="Garamond"/>
          <w:sz w:val="24"/>
          <w:szCs w:val="24"/>
          <w:lang w:val="sr-Latn-CS"/>
        </w:rPr>
        <w:t xml:space="preserve"> </w:t>
      </w:r>
      <w:r w:rsidR="003D2E67">
        <w:rPr>
          <w:rFonts w:ascii="Garamond" w:hAnsi="Garamond"/>
          <w:sz w:val="24"/>
          <w:szCs w:val="24"/>
          <w:lang w:val="sr-Latn-CS"/>
        </w:rPr>
        <w:t>godišnjoj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naknadi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825F2D">
        <w:rPr>
          <w:rFonts w:ascii="Garamond" w:eastAsia="Times New Roman" w:hAnsi="Garamond"/>
          <w:sz w:val="24"/>
          <w:szCs w:val="24"/>
          <w:lang w:val="sr-Latn-CS"/>
        </w:rPr>
        <w:t>za korišćenje prostora za bespravne objekte</w:t>
      </w:r>
      <w:r w:rsidRPr="00825F2D">
        <w:rPr>
          <w:rFonts w:ascii="Garamond" w:hAnsi="Garamond"/>
          <w:sz w:val="24"/>
          <w:szCs w:val="24"/>
          <w:lang w:val="sr-Latn-CS"/>
        </w:rPr>
        <w:t xml:space="preserve"> </w:t>
      </w:r>
      <w:r w:rsidRPr="0093015E">
        <w:rPr>
          <w:rFonts w:ascii="Garamond" w:hAnsi="Garamond"/>
          <w:sz w:val="24"/>
          <w:szCs w:val="24"/>
          <w:lang w:val="sr-Latn-CS"/>
        </w:rPr>
        <w:t>("</w:t>
      </w:r>
      <w:proofErr w:type="spellStart"/>
      <w:r w:rsidRPr="00C7332C">
        <w:rPr>
          <w:rFonts w:ascii="Garamond" w:hAnsi="Garamond"/>
          <w:sz w:val="24"/>
          <w:szCs w:val="24"/>
        </w:rPr>
        <w:t>Slu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ž</w:t>
      </w:r>
      <w:proofErr w:type="spellStart"/>
      <w:r w:rsidRPr="00C7332C">
        <w:rPr>
          <w:rFonts w:ascii="Garamond" w:hAnsi="Garamond"/>
          <w:sz w:val="24"/>
          <w:szCs w:val="24"/>
        </w:rPr>
        <w:t>beni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list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Crne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Gore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- </w:t>
      </w:r>
      <w:r w:rsidRPr="00C7332C">
        <w:rPr>
          <w:rFonts w:ascii="Garamond" w:hAnsi="Garamond"/>
          <w:sz w:val="24"/>
          <w:szCs w:val="24"/>
        </w:rPr>
        <w:t>Op</w:t>
      </w:r>
      <w:r w:rsidRPr="0093015E">
        <w:rPr>
          <w:rFonts w:ascii="Garamond" w:hAnsi="Garamond"/>
          <w:sz w:val="24"/>
          <w:szCs w:val="24"/>
          <w:lang w:val="sr-Latn-CS"/>
        </w:rPr>
        <w:t>š</w:t>
      </w:r>
      <w:proofErr w:type="spellStart"/>
      <w:r w:rsidRPr="00C7332C">
        <w:rPr>
          <w:rFonts w:ascii="Garamond" w:hAnsi="Garamond"/>
          <w:sz w:val="24"/>
          <w:szCs w:val="24"/>
        </w:rPr>
        <w:t>tinski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propisi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", </w:t>
      </w:r>
      <w:proofErr w:type="spellStart"/>
      <w:r>
        <w:rPr>
          <w:rFonts w:ascii="Garamond" w:hAnsi="Garamond"/>
          <w:sz w:val="24"/>
          <w:szCs w:val="24"/>
        </w:rPr>
        <w:t>br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.</w:t>
      </w:r>
      <w:r w:rsidR="00434D6B">
        <w:rPr>
          <w:rFonts w:ascii="Garamond" w:hAnsi="Garamond"/>
          <w:sz w:val="24"/>
          <w:szCs w:val="24"/>
          <w:lang w:val="sr-Latn-CS"/>
        </w:rPr>
        <w:t xml:space="preserve"> </w:t>
      </w:r>
      <w:r w:rsidR="00825F2D">
        <w:rPr>
          <w:rFonts w:ascii="Garamond" w:hAnsi="Garamond"/>
          <w:sz w:val="24"/>
          <w:szCs w:val="24"/>
          <w:lang w:val="sr-Latn-CS"/>
        </w:rPr>
        <w:t>05/20</w:t>
      </w:r>
      <w:r w:rsidRPr="0093015E">
        <w:rPr>
          <w:rFonts w:ascii="Garamond" w:hAnsi="Garamond"/>
          <w:sz w:val="24"/>
          <w:szCs w:val="24"/>
          <w:lang w:val="sr-Latn-CS"/>
        </w:rPr>
        <w:t>).</w:t>
      </w:r>
    </w:p>
    <w:p w14:paraId="05DDC20D" w14:textId="549C01CF" w:rsidR="00132510" w:rsidRDefault="0093015E" w:rsidP="001E743D">
      <w:pPr>
        <w:pStyle w:val="T30X"/>
        <w:ind w:firstLine="0"/>
        <w:rPr>
          <w:rFonts w:ascii="Garamond" w:hAnsi="Garamond"/>
          <w:sz w:val="24"/>
          <w:szCs w:val="24"/>
          <w:lang w:val="sr-Latn-CS"/>
        </w:rPr>
      </w:pPr>
      <w:r w:rsidRPr="0093015E">
        <w:rPr>
          <w:rFonts w:ascii="Garamond" w:hAnsi="Garamond"/>
          <w:sz w:val="24"/>
          <w:szCs w:val="24"/>
          <w:lang w:val="sr-Latn-CS"/>
        </w:rPr>
        <w:t xml:space="preserve">     </w:t>
      </w:r>
      <w:r w:rsidRPr="00C7332C">
        <w:rPr>
          <w:rFonts w:ascii="Garamond" w:hAnsi="Garamond"/>
          <w:sz w:val="24"/>
          <w:szCs w:val="24"/>
        </w:rPr>
        <w:t>Ova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odluka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A03891">
        <w:rPr>
          <w:rFonts w:ascii="Garamond" w:hAnsi="Garamond"/>
          <w:sz w:val="24"/>
          <w:szCs w:val="24"/>
        </w:rPr>
        <w:t>stupa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na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snagu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osmog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dana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od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dana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objavljivanja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u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"</w:t>
      </w:r>
      <w:proofErr w:type="spellStart"/>
      <w:r w:rsidRPr="00C7332C">
        <w:rPr>
          <w:rFonts w:ascii="Garamond" w:hAnsi="Garamond"/>
          <w:sz w:val="24"/>
          <w:szCs w:val="24"/>
        </w:rPr>
        <w:t>Slu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ž</w:t>
      </w:r>
      <w:proofErr w:type="spellStart"/>
      <w:r w:rsidRPr="00C7332C">
        <w:rPr>
          <w:rFonts w:ascii="Garamond" w:hAnsi="Garamond"/>
          <w:sz w:val="24"/>
          <w:szCs w:val="24"/>
        </w:rPr>
        <w:t>benom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listu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CG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– </w:t>
      </w:r>
      <w:proofErr w:type="gramStart"/>
      <w:r>
        <w:rPr>
          <w:rFonts w:ascii="Garamond" w:hAnsi="Garamond"/>
          <w:sz w:val="24"/>
          <w:szCs w:val="24"/>
        </w:rPr>
        <w:t>Op</w:t>
      </w:r>
      <w:r w:rsidRPr="0093015E">
        <w:rPr>
          <w:rFonts w:ascii="Garamond" w:hAnsi="Garamond"/>
          <w:sz w:val="24"/>
          <w:szCs w:val="24"/>
          <w:lang w:val="sr-Latn-CS"/>
        </w:rPr>
        <w:t>š</w:t>
      </w:r>
      <w:proofErr w:type="spellStart"/>
      <w:r>
        <w:rPr>
          <w:rFonts w:ascii="Garamond" w:hAnsi="Garamond"/>
          <w:sz w:val="24"/>
          <w:szCs w:val="24"/>
        </w:rPr>
        <w:t>tinski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 </w:t>
      </w:r>
      <w:proofErr w:type="spellStart"/>
      <w:r w:rsidRPr="00C7332C">
        <w:rPr>
          <w:rFonts w:ascii="Garamond" w:hAnsi="Garamond"/>
          <w:sz w:val="24"/>
          <w:szCs w:val="24"/>
        </w:rPr>
        <w:t>propisi</w:t>
      </w:r>
      <w:proofErr w:type="spellEnd"/>
      <w:proofErr w:type="gramEnd"/>
      <w:r w:rsidRPr="0093015E">
        <w:rPr>
          <w:rFonts w:ascii="Garamond" w:hAnsi="Garamond"/>
          <w:sz w:val="24"/>
          <w:szCs w:val="24"/>
          <w:lang w:val="sr-Latn-CS"/>
        </w:rPr>
        <w:t>".</w:t>
      </w:r>
    </w:p>
    <w:p w14:paraId="7FFE38E3" w14:textId="56D962BC" w:rsidR="00A03891" w:rsidRDefault="00A03891" w:rsidP="001E743D">
      <w:pPr>
        <w:pStyle w:val="T30X"/>
        <w:ind w:firstLine="0"/>
        <w:rPr>
          <w:rFonts w:ascii="Garamond" w:hAnsi="Garamond"/>
          <w:sz w:val="24"/>
          <w:szCs w:val="24"/>
          <w:lang w:val="sr-Latn-CS"/>
        </w:rPr>
      </w:pPr>
    </w:p>
    <w:p w14:paraId="6CADB351" w14:textId="77777777" w:rsidR="00A03891" w:rsidRPr="00A03891" w:rsidRDefault="00A03891" w:rsidP="001E743D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3D00057A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  <w:bookmarkStart w:id="4" w:name="_Hlk66777988"/>
      <w:proofErr w:type="spellStart"/>
      <w:r w:rsidRPr="00A03891">
        <w:rPr>
          <w:rFonts w:ascii="Garamond" w:hAnsi="Garamond"/>
          <w:sz w:val="24"/>
          <w:szCs w:val="24"/>
        </w:rPr>
        <w:t>Broj</w:t>
      </w:r>
      <w:proofErr w:type="spellEnd"/>
      <w:r w:rsidRPr="00A03891">
        <w:rPr>
          <w:rFonts w:ascii="Garamond" w:hAnsi="Garamond"/>
          <w:sz w:val="24"/>
          <w:szCs w:val="24"/>
        </w:rPr>
        <w:t xml:space="preserve">: 02-030/21- </w:t>
      </w:r>
    </w:p>
    <w:p w14:paraId="44DEFE53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  <w:r w:rsidRPr="00A03891">
        <w:rPr>
          <w:rFonts w:ascii="Garamond" w:hAnsi="Garamond"/>
          <w:sz w:val="24"/>
          <w:szCs w:val="24"/>
        </w:rPr>
        <w:t>Tuzi, ______</w:t>
      </w:r>
      <w:proofErr w:type="gramStart"/>
      <w:r w:rsidRPr="00A03891">
        <w:rPr>
          <w:rFonts w:ascii="Garamond" w:hAnsi="Garamond"/>
          <w:sz w:val="24"/>
          <w:szCs w:val="24"/>
        </w:rPr>
        <w:t>_.2021.godine</w:t>
      </w:r>
      <w:proofErr w:type="gramEnd"/>
    </w:p>
    <w:p w14:paraId="39CF8A4C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69F95EC6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1EB5B19E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3B6BAC27" w14:textId="77777777" w:rsidR="00A03891" w:rsidRPr="00A03891" w:rsidRDefault="00A03891" w:rsidP="00A03891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A03891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2CB81F06" w14:textId="77777777" w:rsidR="00A03891" w:rsidRPr="00A03891" w:rsidRDefault="00A03891" w:rsidP="00A03891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A03891">
        <w:rPr>
          <w:rFonts w:ascii="Garamond" w:hAnsi="Garamond"/>
          <w:b/>
          <w:bCs/>
          <w:sz w:val="24"/>
          <w:szCs w:val="24"/>
        </w:rPr>
        <w:t>PREDSJEDNIK,</w:t>
      </w:r>
    </w:p>
    <w:p w14:paraId="2E8AEE44" w14:textId="77777777" w:rsidR="00A03891" w:rsidRPr="00A03891" w:rsidRDefault="00A03891" w:rsidP="00A03891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03891">
        <w:rPr>
          <w:rFonts w:ascii="Garamond" w:hAnsi="Garamond"/>
          <w:b/>
          <w:bCs/>
          <w:sz w:val="24"/>
          <w:szCs w:val="24"/>
        </w:rPr>
        <w:t>Fadil</w:t>
      </w:r>
      <w:proofErr w:type="spellEnd"/>
      <w:r w:rsidRPr="00A03891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03891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bookmarkEnd w:id="4"/>
    <w:p w14:paraId="379F979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6AAEC61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12B2F72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3A46A1A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669C330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45082FF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DAFD05E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1E71DDD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E5CA6D8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54BB5D8E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4844A5B4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6B281F7D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0A4CE757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B4180D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5FDB29A7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3DFF4376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1A130E4B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F7E5994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884B65B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13920D5" w14:textId="4295F532" w:rsidR="00990FD7" w:rsidRPr="004D2DC0" w:rsidRDefault="00990FD7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sz w:val="24"/>
          <w:szCs w:val="24"/>
          <w:lang w:val="sr-Latn-CS"/>
        </w:rPr>
        <w:lastRenderedPageBreak/>
        <w:t>OBRAZLOŽENJE</w:t>
      </w:r>
    </w:p>
    <w:p w14:paraId="27AD4C1E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</w:p>
    <w:p w14:paraId="008EC4FA" w14:textId="1F7903BF" w:rsidR="00C918CE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I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ab/>
        <w:t>PRAVNI OSNOV</w:t>
      </w:r>
    </w:p>
    <w:p w14:paraId="4F56CC78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</w:p>
    <w:p w14:paraId="4FEF01C4" w14:textId="050608CF" w:rsidR="00990FD7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</w:pP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 xml:space="preserve">Pravni osnov za donošenje ove Odluke sadržan je u </w:t>
      </w:r>
      <w:r w:rsidR="00C918CE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 xml:space="preserve">članu 168 stav 4 </w:t>
      </w: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Zakon</w:t>
      </w:r>
      <w:r w:rsidR="00C918CE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a</w:t>
      </w: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 xml:space="preserve"> o planiranju prostora i izgr</w:t>
      </w:r>
      <w:r w:rsidR="00C918CE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a</w:t>
      </w: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dnji objekata</w:t>
      </w:r>
      <w:r w:rsidR="00C918CE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 xml:space="preserve"> </w:t>
      </w:r>
      <w:r w:rsidR="00C918CE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(„Službeni list CG“, brој 64/17, </w:t>
      </w:r>
      <w:r w:rsidR="00C918CE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44/18, 63/18</w:t>
      </w:r>
      <w:r w:rsidR="004B329E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, 11/19</w:t>
      </w:r>
      <w:r w:rsidR="00C918CE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 xml:space="preserve"> i 82/20</w:t>
      </w:r>
      <w:r w:rsidR="00C918CE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), članu 38 stav 1 tačka 2 i 8</w:t>
      </w: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 xml:space="preserve"> Zakon</w:t>
      </w:r>
      <w:r w:rsidR="00C918CE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a</w:t>
      </w: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 xml:space="preserve"> o lokalnoj samoupravi </w:t>
      </w:r>
      <w:r w:rsidR="00C918CE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(„Službeni list CG“, br. </w:t>
      </w:r>
      <w:r w:rsidR="00C918CE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2/18, 34/19 i 38/20</w:t>
      </w:r>
      <w:r w:rsidR="00C918CE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)</w:t>
      </w:r>
      <w:r w:rsidR="00C918CE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, </w:t>
      </w:r>
      <w:r w:rsidR="00C918CE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člаnа 25 stav 1 tačka 2 i člana 53 stav 1 tačka 2 i 8 Stаtutа Opštine Tuzi („Službeni list CG – Opštinski propisi“, br. 24/19 i 05/20)</w:t>
      </w: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.</w:t>
      </w:r>
    </w:p>
    <w:p w14:paraId="1C027BC0" w14:textId="77777777" w:rsidR="004A4E48" w:rsidRPr="004D2DC0" w:rsidRDefault="004A4E48" w:rsidP="00990FD7">
      <w:pPr>
        <w:spacing w:after="0" w:line="240" w:lineRule="auto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</w:pPr>
    </w:p>
    <w:p w14:paraId="1F23A4CE" w14:textId="50B89EA2" w:rsidR="00990FD7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</w:pP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Članom 168 stav 4 Zakona o planiranju prostora i izgradnji objekata propisano je da visinu, način i kriterijume plaćanja godišnje naknade za korišćenje prostora za bespravne objekte, utvrđuje, nadležni organ lokalne samouprave, uz prethodnu saglasnost Ministarstva.</w:t>
      </w:r>
    </w:p>
    <w:p w14:paraId="3CDD5CB4" w14:textId="77777777" w:rsidR="004A4E48" w:rsidRPr="004D2DC0" w:rsidRDefault="004A4E48" w:rsidP="00990FD7">
      <w:pPr>
        <w:spacing w:after="0" w:line="240" w:lineRule="auto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</w:pPr>
    </w:p>
    <w:p w14:paraId="6376CFAE" w14:textId="133A357E" w:rsidR="00540851" w:rsidRDefault="00990FD7" w:rsidP="00540851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Cs/>
          <w:color w:val="000000"/>
          <w:sz w:val="24"/>
          <w:szCs w:val="24"/>
          <w:lang w:val="sr-Latn-ME"/>
        </w:rPr>
        <w:t>Članom 38 stav 1 tač. 2 i 8 Zakona o lokalnoj samoupravi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propisano</w:t>
      </w:r>
      <w:r w:rsidR="00C918CE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je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da </w:t>
      </w:r>
      <w:r w:rsidR="003D51F9"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S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kupština donosi propise i druge opšte akte i uvodi i utvrđuje opštinske poreze, takse, naknade i druge sopstvene prihode.</w:t>
      </w:r>
    </w:p>
    <w:p w14:paraId="3B22DCEB" w14:textId="77777777" w:rsidR="004A4E48" w:rsidRPr="004D2DC0" w:rsidRDefault="004A4E48" w:rsidP="00540851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</w:p>
    <w:p w14:paraId="67315C6A" w14:textId="1D77471E" w:rsidR="004A4E48" w:rsidRDefault="00540851" w:rsidP="00E13E6E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Članom 25 stav 1 tačka 2 Statuta Opštine Tuzi je propisano da 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u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okviru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sopstvenih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nadle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ž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nosti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, o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p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š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tina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ure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đ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uje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,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uvodi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i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utvr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đ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uje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sopstvene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prihode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u</w:t>
      </w:r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skladu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sa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4D2DC0">
        <w:rPr>
          <w:rFonts w:ascii="Garamond" w:eastAsiaTheme="minorEastAsia" w:hAnsi="Garamond" w:cs="Times New Roman"/>
          <w:color w:val="000000"/>
          <w:sz w:val="24"/>
          <w:szCs w:val="24"/>
        </w:rPr>
        <w:t>zakonom</w:t>
      </w:r>
      <w:proofErr w:type="spellEnd"/>
      <w:r w:rsidRPr="004D2DC0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, dok je članom 53 stav 1 tačka 2 i 8 propisano da Skupština donosi propise i druge opšte akte, uvodi i utvrđuje opštinske poreze, takse, naknade i druge sopstvene prihode.</w:t>
      </w:r>
    </w:p>
    <w:p w14:paraId="03F00758" w14:textId="77777777" w:rsidR="00250842" w:rsidRDefault="00250842" w:rsidP="00E13E6E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</w:pPr>
    </w:p>
    <w:p w14:paraId="78FC599B" w14:textId="465ABA52" w:rsidR="004A4E48" w:rsidRPr="004A4E48" w:rsidRDefault="004A4E48" w:rsidP="004A4E48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</w:pPr>
      <w:r w:rsidRPr="004A4E48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Saglasno članu </w:t>
      </w:r>
      <w:r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168</w:t>
      </w:r>
      <w:r w:rsidRPr="004A4E48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stav </w:t>
      </w:r>
      <w:r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4</w:t>
      </w:r>
      <w:r w:rsidRPr="004A4E48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Zakona o planiranju prostora i izgradnji objekata, </w:t>
      </w:r>
      <w:r w:rsidR="00250842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Ministarstvo ekologije, prostornog planiranja i urbanizma </w:t>
      </w:r>
      <w:r w:rsidRPr="004A4E48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dal</w:t>
      </w:r>
      <w:r w:rsidR="00250842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o je</w:t>
      </w:r>
      <w:r w:rsidRPr="004A4E48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saglasnost na Predlog Odluke o</w:t>
      </w:r>
      <w:r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godišnjoj</w:t>
      </w:r>
      <w:r w:rsidRPr="004A4E48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naknadi za k</w:t>
      </w:r>
      <w:r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orišćenje</w:t>
      </w:r>
      <w:r w:rsidR="00A72DB1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prostora </w:t>
      </w:r>
      <w:r w:rsidR="00A72DB1">
        <w:rPr>
          <w:rFonts w:ascii="Garamond" w:eastAsiaTheme="minorEastAsia" w:hAnsi="Garamond" w:cs="Times New Roman"/>
          <w:color w:val="000000"/>
          <w:sz w:val="24"/>
          <w:szCs w:val="24"/>
          <w:lang w:val="sr-Latn-ME"/>
        </w:rPr>
        <w:t>za</w:t>
      </w:r>
      <w:r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bespravn</w:t>
      </w:r>
      <w:r w:rsidR="00A72DB1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e</w:t>
      </w:r>
      <w:r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objek</w:t>
      </w:r>
      <w:r w:rsidR="00A72DB1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te</w:t>
      </w:r>
      <w:r w:rsidR="00250842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 broj</w:t>
      </w:r>
      <w:r w:rsidR="001B0BE7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 xml:space="preserve">: </w:t>
      </w:r>
      <w:r w:rsidR="001B0BE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01-12/13 </w:t>
      </w:r>
      <w:r w:rsidR="001B0BE7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od </w:t>
      </w:r>
      <w:r w:rsidR="001B0BE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19.01.2021.</w:t>
      </w:r>
      <w:r w:rsidR="00250842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godine</w:t>
      </w:r>
      <w:r w:rsidRPr="004A4E48"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  <w:t>.</w:t>
      </w:r>
    </w:p>
    <w:p w14:paraId="581356F8" w14:textId="77777777" w:rsidR="004A4E48" w:rsidRPr="00E13E6E" w:rsidRDefault="004A4E48" w:rsidP="00E13E6E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Theme="minorEastAsia" w:hAnsi="Garamond" w:cs="Times New Roman"/>
          <w:color w:val="000000"/>
          <w:sz w:val="24"/>
          <w:szCs w:val="24"/>
          <w:lang w:val="sr-Latn-CS"/>
        </w:rPr>
      </w:pPr>
    </w:p>
    <w:p w14:paraId="77E279C2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</w:p>
    <w:p w14:paraId="4665F65F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II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ab/>
        <w:t>RAZLOZI ZA DONOŠENJE ODLUKE</w:t>
      </w:r>
    </w:p>
    <w:p w14:paraId="50A96DC2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</w:p>
    <w:p w14:paraId="0EE47DC0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Skupština Crne Gore je usvojila Zakon o izmjenama i dopunama Zakona o planiranju prostora i izgradnji objekata koji je stupio na snagu i primjenjuje se od 14. avgusta 2020. godine.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Ovim zakonom je, između ostalog, izvršena izmjena člana 168 koji predstavlja osnov za donošenje opštinske odluke o godišnjoj naknadi za korišćenje prostora za bespravne objekte, kao prihoda jedinice lokalne samouprave, čime se stvorila potreba za izmjenama postojeće Odluke o godišnjoj naknadi za korišćenje prostora za bespravne objekte.</w:t>
      </w:r>
    </w:p>
    <w:p w14:paraId="6EB8F328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48553F84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III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ab/>
        <w:t>OBJAŠNJENJE OSNOVNIH PRAVNIH INSTITUTA</w:t>
      </w:r>
    </w:p>
    <w:p w14:paraId="097279B5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</w:p>
    <w:p w14:paraId="07B3C490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 xml:space="preserve">Poglavlje I - Opšte odredbe - Članom 1 (Predmet odluke)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utvrđeno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je da će ovom odlukom biti propisana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visina, način i kriterijumi plаćаnjа godišnje nаknаdе za korišćenje prostora za bespravne objekte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. </w:t>
      </w:r>
    </w:p>
    <w:p w14:paraId="16887772" w14:textId="1450EB92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Članom 2 (Plaćanje naknade)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definisano je za koje se sve bespravne objekte plaća naknada</w:t>
      </w:r>
      <w:r w:rsidR="00E13E6E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.</w:t>
      </w:r>
    </w:p>
    <w:p w14:paraId="42BF391C" w14:textId="43F6FF75" w:rsidR="00132510" w:rsidRPr="005904D1" w:rsidRDefault="00990FD7" w:rsidP="00990FD7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Članom 3 (Nastanak obaveza plaćanja naknade)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utvrđeno je da obaveza plaćanja naknade nastaje 1. januar</w:t>
      </w:r>
      <w:r w:rsidR="0013251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a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godine za koju se utvđuje naknada</w:t>
      </w:r>
      <w:r w:rsidR="0013251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O</w:t>
      </w:r>
      <w:r w:rsidR="00312440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baveza plaćanja naknade za 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prvu godinu za bespravni objekat za koji nije podnešen zahtjev za legalizaciju </w:t>
      </w:r>
      <w:r w:rsidR="00312440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nastaje 1. januara 2021. godine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, dok </w:t>
      </w:r>
      <w:r w:rsidR="00312440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za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bespravn</w:t>
      </w:r>
      <w:r w:rsidR="005904D1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i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lastRenderedPageBreak/>
        <w:t>objek</w:t>
      </w:r>
      <w:r w:rsidR="005904D1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at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za koj</w:t>
      </w:r>
      <w:r w:rsidR="005904D1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i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je</w:t>
      </w:r>
      <w:r w:rsidR="00312440" w:rsidRP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donijeto pravosnažno rješenje o odbijanju zahtjeva za legalizaciju bespravnog objekta obaveza </w:t>
      </w:r>
      <w:r w:rsidR="00312440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nastaje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1. januara godine koja slijedi godini u kojoj je </w:t>
      </w:r>
      <w:bookmarkStart w:id="5" w:name="_Hlk61940127"/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donijeto</w:t>
      </w:r>
      <w:r w:rsidR="005904D1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pomenuto</w:t>
      </w:r>
      <w:r w:rsidR="0031244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rješenje.</w:t>
      </w:r>
      <w:bookmarkEnd w:id="5"/>
    </w:p>
    <w:p w14:paraId="1C23E2D2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Član 4 (Prestanak obaveze plaćanja naknade)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– Ovim članom su utvrđeni uslovi pod kojima prestaje obaveza, a u skladu sa članom 168 st. 1 i 7 Zakona.  </w:t>
      </w:r>
    </w:p>
    <w:p w14:paraId="27C14AC9" w14:textId="5F1D4BEE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Članom 5 (Evidencija obveznika naknade)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– Odlukom se propisuje obaveza organa lokalne uprave da, radi utvrđivanja obaveze plaćanja naknade, uspostavi i vodi evidenciju (bazu podataka) obveznika naknade. Za uspostavljanje i vođenje ove evidencije, koristiće se podaci iz katastra nepokretnosti, liste bespravnih objekata i drugih evidencija koje vode organi lokalne uprave i javne službe čiji je osnivač opština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,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a u kojima su sadržani podaci značajni za identifikovanje bespravnih objekata i njihovih vlasnika, odnosno korisnika.</w:t>
      </w:r>
    </w:p>
    <w:p w14:paraId="3D5ED936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</w:p>
    <w:p w14:paraId="7ABFBE70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Poglavlje II - Visina i kriterijumi za utvrđivanje naknade – Članom 6 (Utvrđivanje visine naknade)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propisan je način utvrđivanja visine naknade na godišnjem nivou koja se obračunava na osnovu cijene naknade po jedinici površine, bruto površine bespravnog objekta izražene u m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vertAlign w:val="superscript"/>
          <w:lang w:val="sr-Latn-CS"/>
        </w:rPr>
        <w:t xml:space="preserve">2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i stope naknade. </w:t>
      </w:r>
    </w:p>
    <w:p w14:paraId="28F9B604" w14:textId="09A21E07" w:rsidR="00990FD7" w:rsidRPr="0023607B" w:rsidRDefault="00990FD7" w:rsidP="0023607B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Član 7 (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Utvrđivanje visine i c</w:t>
      </w:r>
      <w:r w:rsidR="0023607B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ijen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e</w:t>
      </w:r>
      <w:r w:rsidR="0023607B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naknade po m</w:t>
      </w:r>
      <w:r w:rsidR="0023607B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vertAlign w:val="superscript"/>
          <w:lang w:val="sr-Latn-CS"/>
        </w:rPr>
        <w:t xml:space="preserve">2 </w:t>
      </w:r>
      <w:r w:rsidR="0023607B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bespravnog objekta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 xml:space="preserve">) -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P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redloženo da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se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cijena naknade po m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vertAlign w:val="superscript"/>
          <w:lang w:val="sr-Latn-CS"/>
        </w:rPr>
        <w:t>2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 bespravnog objekta određuje na osnovu prosječne cijene građenja m² novoizgrađenog stambenog objekta u Crnoj Gori koju objavljuje organ uprave nadležan za poslove statistike za godinu koja prethodi godini, što je i zakonski zahtjev utvrđen u članu 168 stav 3 Zakona.</w:t>
      </w:r>
    </w:p>
    <w:p w14:paraId="0EC87D84" w14:textId="6460CD8D" w:rsidR="00990FD7" w:rsidRPr="004D2DC0" w:rsidRDefault="00990FD7" w:rsidP="0023607B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Članom 8 (Stopa naknade)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propisuje se stopa naknade u visini od </w:t>
      </w:r>
      <w:r w:rsidR="00E13E6E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0,50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%. </w:t>
      </w:r>
    </w:p>
    <w:p w14:paraId="3C83DE0F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</w:p>
    <w:p w14:paraId="29EACCA1" w14:textId="26FC87B5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 xml:space="preserve">Poglavlje III – Način utvrđivanja i plaćanja naknade – Članom 9 (Utvrđivanje i plaćanje naknade)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propisano je da se visina naknade utvrđuje rješenjem organa</w:t>
      </w:r>
      <w:r w:rsidR="005904D1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lokalne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uprave nadležnog za poslove lokalnih javnih prihoda. </w:t>
      </w:r>
    </w:p>
    <w:p w14:paraId="5B8AE663" w14:textId="423372C4" w:rsidR="0023607B" w:rsidRDefault="00990FD7" w:rsidP="0023607B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Članom 10 (</w:t>
      </w:r>
      <w:r w:rsidR="0023607B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Shodna primjena propisa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 xml:space="preserve">)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– </w:t>
      </w:r>
      <w:r w:rsidR="0023607B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>propisano je da</w:t>
      </w:r>
      <w:r w:rsidR="00DD5663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u</w:t>
      </w:r>
      <w:r w:rsidR="0023607B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pogledu načina utvrđivanja naknade obračunavanja, rokova, žalbe, prinudne naplate, kamate, povraćaja i ostalih pitanja koja nijesu uređena ovom odlukom shodno se primjenjuju odredbe zakona kojim je uređen poreski postupak.</w:t>
      </w:r>
    </w:p>
    <w:p w14:paraId="658A0083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</w:pPr>
    </w:p>
    <w:p w14:paraId="6606FFCB" w14:textId="02D0EE7B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 xml:space="preserve">Poglavlje IV – </w:t>
      </w:r>
      <w:r w:rsidR="0023607B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Završna odredba</w:t>
      </w:r>
      <w:r w:rsidR="0023607B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– </w:t>
      </w:r>
      <w:r w:rsidR="0023607B" w:rsidRPr="0023607B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r-Latn-CS"/>
        </w:rPr>
        <w:t>Članom 1</w:t>
      </w:r>
      <w:r w:rsidR="00825F2D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r-Latn-CS"/>
        </w:rPr>
        <w:t>1</w:t>
      </w:r>
      <w:r w:rsidR="0023607B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Calibri" w:hAnsi="Garamond" w:cs="Times New Roman"/>
          <w:b/>
          <w:color w:val="000000"/>
          <w:sz w:val="24"/>
          <w:szCs w:val="24"/>
          <w:lang w:val="sr-Latn-CS"/>
        </w:rPr>
        <w:t>(Stupanje na snagu)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–</w:t>
      </w:r>
      <w:r w:rsidR="0023607B" w:rsidRPr="0023607B">
        <w:rPr>
          <w:rFonts w:ascii="Garamond" w:hAnsi="Garamond"/>
          <w:sz w:val="24"/>
          <w:szCs w:val="24"/>
          <w:lang w:val="sr-Latn-CS"/>
        </w:rPr>
        <w:t xml:space="preserve"> </w:t>
      </w:r>
      <w:r w:rsidR="0023607B" w:rsidRPr="006A055C">
        <w:rPr>
          <w:rFonts w:ascii="Garamond" w:hAnsi="Garamond"/>
          <w:sz w:val="24"/>
          <w:szCs w:val="24"/>
          <w:lang w:val="sr-Latn-CS"/>
        </w:rPr>
        <w:t>predloženo je da</w:t>
      </w:r>
      <w:r w:rsidR="0023607B">
        <w:rPr>
          <w:rFonts w:ascii="Garamond" w:hAnsi="Garamond"/>
          <w:sz w:val="24"/>
          <w:szCs w:val="24"/>
          <w:lang w:val="sr-Latn-CS"/>
        </w:rPr>
        <w:t xml:space="preserve"> danom</w:t>
      </w:r>
      <w:r w:rsidR="0023607B" w:rsidRPr="006A055C">
        <w:rPr>
          <w:rFonts w:ascii="Garamond" w:hAnsi="Garamond"/>
          <w:sz w:val="24"/>
          <w:szCs w:val="24"/>
          <w:lang w:val="sr-Latn-CS"/>
        </w:rPr>
        <w:t xml:space="preserve"> stupan</w:t>
      </w:r>
      <w:r w:rsidR="0023607B">
        <w:rPr>
          <w:rFonts w:ascii="Garamond" w:hAnsi="Garamond"/>
          <w:sz w:val="24"/>
          <w:szCs w:val="24"/>
          <w:lang w:val="sr-Latn-CS"/>
        </w:rPr>
        <w:t>ja</w:t>
      </w:r>
      <w:r w:rsidR="0023607B" w:rsidRPr="006A055C">
        <w:rPr>
          <w:rFonts w:ascii="Garamond" w:hAnsi="Garamond"/>
          <w:sz w:val="24"/>
          <w:szCs w:val="24"/>
          <w:lang w:val="sr-Latn-CS"/>
        </w:rPr>
        <w:t xml:space="preserve"> na snagu ove odluke prestaje da važi Odluka o</w:t>
      </w:r>
      <w:r w:rsidR="003D2E67">
        <w:rPr>
          <w:rFonts w:ascii="Garamond" w:hAnsi="Garamond"/>
          <w:sz w:val="24"/>
          <w:szCs w:val="24"/>
          <w:lang w:val="sr-Latn-CS"/>
        </w:rPr>
        <w:t xml:space="preserve"> godišnjoj</w:t>
      </w:r>
      <w:r w:rsidR="0023607B" w:rsidRPr="006A055C">
        <w:rPr>
          <w:rFonts w:ascii="Garamond" w:hAnsi="Garamond"/>
          <w:sz w:val="24"/>
          <w:szCs w:val="24"/>
          <w:lang w:val="sr-Latn-CS"/>
        </w:rPr>
        <w:t xml:space="preserve"> naknadi za </w:t>
      </w:r>
      <w:r w:rsidR="0023607B">
        <w:rPr>
          <w:rFonts w:ascii="Garamond" w:hAnsi="Garamond"/>
          <w:sz w:val="24"/>
          <w:szCs w:val="24"/>
          <w:lang w:val="sr-Latn-CS"/>
        </w:rPr>
        <w:t>korišćenje prostora za bespravne objekte</w:t>
      </w:r>
      <w:r w:rsidR="0023607B" w:rsidRPr="006A055C">
        <w:rPr>
          <w:rFonts w:ascii="Garamond" w:hAnsi="Garamond"/>
          <w:sz w:val="24"/>
          <w:szCs w:val="24"/>
          <w:lang w:val="sr-Latn-CS"/>
        </w:rPr>
        <w:t xml:space="preserve"> („Službeni list CG – opštinski propisi“, br.</w:t>
      </w:r>
      <w:r w:rsidR="005904D1">
        <w:rPr>
          <w:rFonts w:ascii="Garamond" w:hAnsi="Garamond"/>
          <w:sz w:val="24"/>
          <w:szCs w:val="24"/>
          <w:lang w:val="sr-Latn-CS"/>
        </w:rPr>
        <w:t xml:space="preserve"> 05/20</w:t>
      </w:r>
      <w:r w:rsidR="0023607B" w:rsidRPr="006A055C">
        <w:rPr>
          <w:rFonts w:ascii="Garamond" w:hAnsi="Garamond"/>
          <w:sz w:val="24"/>
          <w:szCs w:val="24"/>
          <w:lang w:val="sr-Latn-CS"/>
        </w:rPr>
        <w:t>)</w:t>
      </w:r>
      <w:r w:rsidR="0023607B">
        <w:rPr>
          <w:rFonts w:ascii="Garamond" w:hAnsi="Garamond"/>
          <w:sz w:val="24"/>
          <w:szCs w:val="24"/>
          <w:lang w:val="sr-Latn-CS"/>
        </w:rPr>
        <w:t xml:space="preserve"> i da ista </w:t>
      </w:r>
      <w:r w:rsidR="0023607B" w:rsidRPr="006A055C">
        <w:rPr>
          <w:rFonts w:ascii="Garamond" w:hAnsi="Garamond"/>
          <w:sz w:val="24"/>
          <w:szCs w:val="24"/>
          <w:lang w:val="sr-Latn-CS"/>
        </w:rPr>
        <w:t xml:space="preserve">stupa na snagu osmog dana od dana objavljivanja u „Službenom listu Crne Gore - opštinski propisi“. </w:t>
      </w:r>
      <w:r w:rsidRPr="004D2DC0">
        <w:rPr>
          <w:rFonts w:ascii="Garamond" w:eastAsia="Calibri" w:hAnsi="Garamond" w:cs="Times New Roman"/>
          <w:color w:val="000000"/>
          <w:sz w:val="24"/>
          <w:szCs w:val="24"/>
          <w:lang w:val="sr-Latn-CS"/>
        </w:rPr>
        <w:t xml:space="preserve"> </w:t>
      </w:r>
    </w:p>
    <w:p w14:paraId="358FE9EF" w14:textId="77777777" w:rsidR="00990FD7" w:rsidRPr="004D2DC0" w:rsidRDefault="00990FD7" w:rsidP="00990FD7">
      <w:pPr>
        <w:spacing w:after="0" w:line="240" w:lineRule="auto"/>
        <w:jc w:val="both"/>
        <w:rPr>
          <w:rFonts w:ascii="Garamond" w:eastAsia="Calibri" w:hAnsi="Garamond" w:cs="Times New Roman"/>
          <w:sz w:val="24"/>
          <w:szCs w:val="24"/>
          <w:lang w:val="sr-Latn-CS"/>
        </w:rPr>
      </w:pPr>
    </w:p>
    <w:p w14:paraId="7FBA42CD" w14:textId="6D23570E" w:rsidR="008E2887" w:rsidRDefault="008E2887">
      <w:pP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br w:type="page"/>
      </w:r>
    </w:p>
    <w:p w14:paraId="7FCFB13F" w14:textId="07A4F41F" w:rsidR="00D4128B" w:rsidRPr="008D7B0D" w:rsidRDefault="008E2887" w:rsidP="00BA5CA7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noProof/>
          <w:color w:val="000000"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5E35F937" wp14:editId="6AA4003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207885" cy="10189845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7885" cy="10189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4128B" w:rsidRPr="008D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6F86B" w14:textId="77777777" w:rsidR="00D43573" w:rsidRDefault="00D43573" w:rsidP="00990FD7">
      <w:pPr>
        <w:spacing w:after="0" w:line="240" w:lineRule="auto"/>
      </w:pPr>
      <w:r>
        <w:separator/>
      </w:r>
    </w:p>
  </w:endnote>
  <w:endnote w:type="continuationSeparator" w:id="0">
    <w:p w14:paraId="07905F1E" w14:textId="77777777" w:rsidR="00D43573" w:rsidRDefault="00D43573" w:rsidP="0099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E025B6" w14:textId="77777777" w:rsidR="00D43573" w:rsidRDefault="00D43573" w:rsidP="00990FD7">
      <w:pPr>
        <w:spacing w:after="0" w:line="240" w:lineRule="auto"/>
      </w:pPr>
      <w:r>
        <w:separator/>
      </w:r>
    </w:p>
  </w:footnote>
  <w:footnote w:type="continuationSeparator" w:id="0">
    <w:p w14:paraId="2A73043E" w14:textId="77777777" w:rsidR="00D43573" w:rsidRDefault="00D43573" w:rsidP="00990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22EF6"/>
    <w:multiLevelType w:val="hybridMultilevel"/>
    <w:tmpl w:val="B0264E7C"/>
    <w:lvl w:ilvl="0" w:tplc="C3C292CC">
      <w:start w:val="5"/>
      <w:numFmt w:val="bullet"/>
      <w:lvlText w:val="-"/>
      <w:lvlJc w:val="left"/>
      <w:pPr>
        <w:ind w:left="774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CD679E5"/>
    <w:multiLevelType w:val="hybridMultilevel"/>
    <w:tmpl w:val="243EC112"/>
    <w:lvl w:ilvl="0" w:tplc="C3C292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D7"/>
    <w:rsid w:val="000C0975"/>
    <w:rsid w:val="000D121C"/>
    <w:rsid w:val="00132510"/>
    <w:rsid w:val="001B0BE7"/>
    <w:rsid w:val="001E743D"/>
    <w:rsid w:val="0023607B"/>
    <w:rsid w:val="00250842"/>
    <w:rsid w:val="00302818"/>
    <w:rsid w:val="00312440"/>
    <w:rsid w:val="00336CD4"/>
    <w:rsid w:val="003D2E67"/>
    <w:rsid w:val="003D51F9"/>
    <w:rsid w:val="004317E6"/>
    <w:rsid w:val="00434D6B"/>
    <w:rsid w:val="00436D51"/>
    <w:rsid w:val="00457B7D"/>
    <w:rsid w:val="0047317D"/>
    <w:rsid w:val="004A4E48"/>
    <w:rsid w:val="004B329E"/>
    <w:rsid w:val="004D2DC0"/>
    <w:rsid w:val="00507524"/>
    <w:rsid w:val="00540851"/>
    <w:rsid w:val="005904D1"/>
    <w:rsid w:val="00654F80"/>
    <w:rsid w:val="00695AA4"/>
    <w:rsid w:val="006B6329"/>
    <w:rsid w:val="008152C7"/>
    <w:rsid w:val="00825F2D"/>
    <w:rsid w:val="008946E7"/>
    <w:rsid w:val="008E2887"/>
    <w:rsid w:val="0093015E"/>
    <w:rsid w:val="00990FD7"/>
    <w:rsid w:val="00A03891"/>
    <w:rsid w:val="00A5415B"/>
    <w:rsid w:val="00A72DB1"/>
    <w:rsid w:val="00AD2854"/>
    <w:rsid w:val="00BA5CA7"/>
    <w:rsid w:val="00BD713E"/>
    <w:rsid w:val="00BF1649"/>
    <w:rsid w:val="00C40D5A"/>
    <w:rsid w:val="00C84AF4"/>
    <w:rsid w:val="00C918CE"/>
    <w:rsid w:val="00D4128B"/>
    <w:rsid w:val="00D43573"/>
    <w:rsid w:val="00D54847"/>
    <w:rsid w:val="00D8030A"/>
    <w:rsid w:val="00DD5663"/>
    <w:rsid w:val="00E13E6E"/>
    <w:rsid w:val="00F1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55640"/>
  <w15:chartTrackingRefBased/>
  <w15:docId w15:val="{49592963-7ED0-484D-AD7E-DFC45A45E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90FD7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0FD7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90F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90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FD7"/>
  </w:style>
  <w:style w:type="paragraph" w:styleId="Footer">
    <w:name w:val="footer"/>
    <w:basedOn w:val="Normal"/>
    <w:link w:val="FooterChar"/>
    <w:uiPriority w:val="99"/>
    <w:unhideWhenUsed/>
    <w:rsid w:val="00990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FD7"/>
  </w:style>
  <w:style w:type="paragraph" w:styleId="BalloonText">
    <w:name w:val="Balloon Text"/>
    <w:basedOn w:val="Normal"/>
    <w:link w:val="BalloonTextChar"/>
    <w:uiPriority w:val="99"/>
    <w:semiHidden/>
    <w:unhideWhenUsed/>
    <w:rsid w:val="00990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F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0975"/>
    <w:pPr>
      <w:ind w:left="720"/>
      <w:contextualSpacing/>
    </w:pPr>
  </w:style>
  <w:style w:type="paragraph" w:customStyle="1" w:styleId="C30X">
    <w:name w:val="C30X"/>
    <w:basedOn w:val="Normal"/>
    <w:uiPriority w:val="99"/>
    <w:rsid w:val="0093015E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93015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2508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Drita Rukaj</cp:lastModifiedBy>
  <cp:revision>2</cp:revision>
  <cp:lastPrinted>2021-03-16T08:08:00Z</cp:lastPrinted>
  <dcterms:created xsi:type="dcterms:W3CDTF">2021-03-22T14:38:00Z</dcterms:created>
  <dcterms:modified xsi:type="dcterms:W3CDTF">2021-03-22T14:38:00Z</dcterms:modified>
</cp:coreProperties>
</file>